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22381644"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1535F1">
            <w:rPr>
              <w:rFonts w:ascii="Arial" w:hAnsi="Arial" w:cs="Arial"/>
              <w:sz w:val="24"/>
              <w:szCs w:val="24"/>
            </w:rPr>
            <w:t>Accord-cadre</w:t>
          </w:r>
        </w:sdtContent>
      </w:sdt>
      <w:r w:rsidR="00BA06D4" w:rsidRPr="00BF4413">
        <w:rPr>
          <w:rFonts w:ascii="Arial" w:hAnsi="Arial" w:cs="Arial"/>
          <w:sz w:val="24"/>
          <w:szCs w:val="24"/>
        </w:rPr>
        <w:t xml:space="preserve"> relatif </w:t>
      </w:r>
      <w:bookmarkEnd w:id="0"/>
      <w:r w:rsidR="003D136B" w:rsidRPr="003D136B">
        <w:rPr>
          <w:rFonts w:ascii="Arial" w:hAnsi="Arial" w:cs="Arial"/>
          <w:sz w:val="24"/>
          <w:szCs w:val="24"/>
        </w:rPr>
        <w:t>à la réalisation de prestations de maintenance préventive et curative des équipements de protection collective</w:t>
      </w:r>
      <w:r w:rsidR="00A27DD5">
        <w:rPr>
          <w:rFonts w:ascii="Arial" w:hAnsi="Arial" w:cs="Arial"/>
          <w:sz w:val="24"/>
          <w:szCs w:val="24"/>
        </w:rPr>
        <w:t xml:space="preserve"> (hottes, sorbonnes)</w:t>
      </w:r>
      <w:r w:rsidR="003D136B" w:rsidRPr="003D136B">
        <w:rPr>
          <w:rFonts w:ascii="Arial" w:hAnsi="Arial" w:cs="Arial"/>
          <w:sz w:val="24"/>
          <w:szCs w:val="24"/>
        </w:rPr>
        <w:t xml:space="preserve"> présents dans les différents laboratoires du Service d’analyses et de métrologie de l’environnement</w:t>
      </w:r>
    </w:p>
    <w:p w14:paraId="174416E6" w14:textId="77777777" w:rsidR="003A7FA3" w:rsidRDefault="003A7FA3" w:rsidP="003A7FA3">
      <w:pPr>
        <w:rPr>
          <w:rFonts w:ascii="Arial" w:hAnsi="Arial" w:cs="Arial"/>
          <w:sz w:val="20"/>
          <w:szCs w:val="20"/>
        </w:rPr>
      </w:pPr>
    </w:p>
    <w:p w14:paraId="29619E7B" w14:textId="45147DE8" w:rsidR="003D136B" w:rsidRPr="00113A4F" w:rsidRDefault="003D136B" w:rsidP="00113A4F">
      <w:pPr>
        <w:jc w:val="center"/>
        <w:rPr>
          <w:rFonts w:ascii="Arial" w:hAnsi="Arial" w:cs="Arial"/>
          <w:b/>
          <w:bCs/>
        </w:rPr>
      </w:pPr>
      <w:r w:rsidRPr="00113A4F">
        <w:rPr>
          <w:rFonts w:ascii="Arial" w:hAnsi="Arial" w:cs="Arial"/>
          <w:b/>
          <w:bCs/>
        </w:rPr>
        <w:t xml:space="preserve">Lot </w:t>
      </w:r>
      <w:r w:rsidR="004D4B59">
        <w:rPr>
          <w:rFonts w:ascii="Arial" w:hAnsi="Arial" w:cs="Arial"/>
          <w:b/>
          <w:bCs/>
        </w:rPr>
        <w:t>2</w:t>
      </w:r>
      <w:r w:rsidRPr="00113A4F">
        <w:rPr>
          <w:rFonts w:ascii="Arial" w:hAnsi="Arial" w:cs="Arial"/>
          <w:b/>
          <w:bCs/>
        </w:rPr>
        <w:t xml:space="preserve"> : </w:t>
      </w:r>
      <w:r w:rsidR="004D4B59" w:rsidRPr="004D4B59">
        <w:rPr>
          <w:rFonts w:ascii="Arial" w:hAnsi="Arial" w:cs="Arial"/>
          <w:b/>
          <w:bCs/>
        </w:rPr>
        <w:t>Sorbonnes et hottes fournies par WALDNER</w:t>
      </w:r>
    </w:p>
    <w:p w14:paraId="07D5C642" w14:textId="77777777" w:rsidR="003D136B" w:rsidRPr="003566E0" w:rsidRDefault="003D136B"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B971B3">
        <w:trPr>
          <w:trHeight w:val="454"/>
        </w:trPr>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0A7EBDBF" w:rsidR="00737146" w:rsidRPr="00A26426" w:rsidRDefault="00076D94"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7D28F1">
                  <w:rPr>
                    <w:rFonts w:ascii="Arial" w:hAnsi="Arial" w:cs="Arial"/>
                    <w:sz w:val="20"/>
                    <w:szCs w:val="20"/>
                  </w:rPr>
                  <w:t>Appel d'offres ouvert</w:t>
                </w:r>
              </w:sdtContent>
            </w:sdt>
          </w:p>
        </w:tc>
      </w:tr>
      <w:tr w:rsidR="00737146" w:rsidRPr="00A26426" w14:paraId="0CC36AB7" w14:textId="77777777" w:rsidTr="00B971B3">
        <w:trPr>
          <w:trHeight w:val="454"/>
        </w:trPr>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41AC9AAE" w:rsidR="00737146" w:rsidRPr="00A26426" w:rsidRDefault="00F91F10" w:rsidP="00651E0B">
            <w:pPr>
              <w:autoSpaceDE w:val="0"/>
              <w:autoSpaceDN w:val="0"/>
              <w:adjustRightInd w:val="0"/>
              <w:jc w:val="left"/>
              <w:rPr>
                <w:rFonts w:ascii="Arial" w:hAnsi="Arial" w:cs="Arial"/>
                <w:b/>
                <w:bCs/>
                <w:sz w:val="20"/>
                <w:szCs w:val="20"/>
              </w:rPr>
            </w:pPr>
            <w:r>
              <w:t>PSE-ENV/SAME</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7C2E03D2" w14:textId="6E55BA27" w:rsidR="00052B45"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7287415" w:history="1">
        <w:r w:rsidR="00052B45" w:rsidRPr="00A8694A">
          <w:rPr>
            <w:rStyle w:val="Lienhypertexte"/>
          </w:rPr>
          <w:t>ARTICLE 1 : OBJET DE L’ACTE D’ENGAGEMENT</w:t>
        </w:r>
        <w:r w:rsidR="00052B45">
          <w:rPr>
            <w:webHidden/>
          </w:rPr>
          <w:tab/>
        </w:r>
        <w:r w:rsidR="00052B45">
          <w:rPr>
            <w:webHidden/>
          </w:rPr>
          <w:fldChar w:fldCharType="begin"/>
        </w:r>
        <w:r w:rsidR="00052B45">
          <w:rPr>
            <w:webHidden/>
          </w:rPr>
          <w:instrText xml:space="preserve"> PAGEREF _Toc207287415 \h </w:instrText>
        </w:r>
        <w:r w:rsidR="00052B45">
          <w:rPr>
            <w:webHidden/>
          </w:rPr>
        </w:r>
        <w:r w:rsidR="00052B45">
          <w:rPr>
            <w:webHidden/>
          </w:rPr>
          <w:fldChar w:fldCharType="separate"/>
        </w:r>
        <w:r w:rsidR="00052B45">
          <w:rPr>
            <w:webHidden/>
          </w:rPr>
          <w:t>3</w:t>
        </w:r>
        <w:r w:rsidR="00052B45">
          <w:rPr>
            <w:webHidden/>
          </w:rPr>
          <w:fldChar w:fldCharType="end"/>
        </w:r>
      </w:hyperlink>
    </w:p>
    <w:p w14:paraId="0C5585AE" w14:textId="6EC42EE9"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6" w:history="1">
        <w:r w:rsidRPr="00A8694A">
          <w:rPr>
            <w:rStyle w:val="Lienhypertexte"/>
          </w:rPr>
          <w:t>ARTICLE 2 : ENGAGEMENT DU TITULAIRE OU DU GROUPEMENT TITULAIRE</w:t>
        </w:r>
        <w:r>
          <w:rPr>
            <w:webHidden/>
          </w:rPr>
          <w:tab/>
        </w:r>
        <w:r>
          <w:rPr>
            <w:webHidden/>
          </w:rPr>
          <w:fldChar w:fldCharType="begin"/>
        </w:r>
        <w:r>
          <w:rPr>
            <w:webHidden/>
          </w:rPr>
          <w:instrText xml:space="preserve"> PAGEREF _Toc207287416 \h </w:instrText>
        </w:r>
        <w:r>
          <w:rPr>
            <w:webHidden/>
          </w:rPr>
        </w:r>
        <w:r>
          <w:rPr>
            <w:webHidden/>
          </w:rPr>
          <w:fldChar w:fldCharType="separate"/>
        </w:r>
        <w:r>
          <w:rPr>
            <w:webHidden/>
          </w:rPr>
          <w:t>4</w:t>
        </w:r>
        <w:r>
          <w:rPr>
            <w:webHidden/>
          </w:rPr>
          <w:fldChar w:fldCharType="end"/>
        </w:r>
      </w:hyperlink>
    </w:p>
    <w:p w14:paraId="47F61763" w14:textId="3389CD9E"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7" w:history="1">
        <w:r w:rsidRPr="00A8694A">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_Toc207287417 \h </w:instrText>
        </w:r>
        <w:r>
          <w:rPr>
            <w:webHidden/>
          </w:rPr>
        </w:r>
        <w:r>
          <w:rPr>
            <w:webHidden/>
          </w:rPr>
          <w:fldChar w:fldCharType="separate"/>
        </w:r>
        <w:r>
          <w:rPr>
            <w:webHidden/>
          </w:rPr>
          <w:t>9</w:t>
        </w:r>
        <w:r>
          <w:rPr>
            <w:webHidden/>
          </w:rPr>
          <w:fldChar w:fldCharType="end"/>
        </w:r>
      </w:hyperlink>
    </w:p>
    <w:p w14:paraId="46EC0D20" w14:textId="09FB7551"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8" w:history="1">
        <w:r w:rsidRPr="00A8694A">
          <w:rPr>
            <w:rStyle w:val="Lienhypertexte"/>
          </w:rPr>
          <w:t>ARTICLE 4 : IDENTIFICATION ET SIGNATURE DE L’ACHETEUR ET CHOIX DE L’OFFRE</w:t>
        </w:r>
        <w:r>
          <w:rPr>
            <w:webHidden/>
          </w:rPr>
          <w:tab/>
        </w:r>
        <w:r>
          <w:rPr>
            <w:webHidden/>
          </w:rPr>
          <w:fldChar w:fldCharType="begin"/>
        </w:r>
        <w:r>
          <w:rPr>
            <w:webHidden/>
          </w:rPr>
          <w:instrText xml:space="preserve"> PAGEREF _Toc207287418 \h </w:instrText>
        </w:r>
        <w:r>
          <w:rPr>
            <w:webHidden/>
          </w:rPr>
        </w:r>
        <w:r>
          <w:rPr>
            <w:webHidden/>
          </w:rPr>
          <w:fldChar w:fldCharType="separate"/>
        </w:r>
        <w:r>
          <w:rPr>
            <w:webHidden/>
          </w:rPr>
          <w:t>11</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7287415"/>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69DB8319" w:rsidR="00983141" w:rsidRDefault="00E60895" w:rsidP="00A456AC">
      <w:pPr>
        <w:spacing w:line="276" w:lineRule="auto"/>
        <w:rPr>
          <w:rFonts w:ascii="Arial" w:hAnsi="Arial" w:cs="Arial"/>
          <w:sz w:val="20"/>
          <w:szCs w:val="20"/>
        </w:rPr>
      </w:pPr>
      <w:r w:rsidRPr="00E60895">
        <w:rPr>
          <w:rFonts w:ascii="Arial" w:hAnsi="Arial" w:cs="Arial"/>
          <w:sz w:val="20"/>
          <w:szCs w:val="20"/>
        </w:rPr>
        <w:t>Le présent marché a pour objet la réalisation de prestations de maintenance préventive et curative des équipements de protection collective présents dans les différents laboratoires du Service d’analyses et de métrologie de l’environnement (PSE-ENV/SAME) pour les bâtiments C4 et C10 situés sur le site du Vésinet (78) et pour le bâtiment 501 situé sur le site d’Orsay (91).</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2C060F63" w:rsidR="00394C8C" w:rsidRPr="00394C8C" w:rsidRDefault="00570352"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E60895">
        <w:rPr>
          <w:rFonts w:ascii="Arial" w:hAnsi="Arial" w:cs="Arial"/>
          <w:sz w:val="20"/>
          <w:szCs w:val="20"/>
        </w:rPr>
        <w:t>au</w:t>
      </w:r>
      <w:proofErr w:type="gramEnd"/>
      <w:r w:rsidR="00E60895">
        <w:rPr>
          <w:rFonts w:ascii="Arial" w:hAnsi="Arial" w:cs="Arial"/>
          <w:sz w:val="20"/>
          <w:szCs w:val="20"/>
        </w:rPr>
        <w:t xml:space="preserve"> lot n°</w:t>
      </w:r>
      <w:r w:rsidR="004D4B59">
        <w:rPr>
          <w:rFonts w:ascii="Arial" w:hAnsi="Arial" w:cs="Arial"/>
          <w:sz w:val="20"/>
          <w:szCs w:val="20"/>
        </w:rPr>
        <w:t>2</w:t>
      </w:r>
      <w:r w:rsidR="00E60895">
        <w:rPr>
          <w:rFonts w:ascii="Arial" w:hAnsi="Arial" w:cs="Arial"/>
          <w:sz w:val="20"/>
          <w:szCs w:val="20"/>
        </w:rPr>
        <w:t xml:space="preserve"> du marché public</w:t>
      </w:r>
      <w:r w:rsidR="00394C8C" w:rsidRPr="00394C8C">
        <w:rPr>
          <w:rFonts w:ascii="Arial" w:hAnsi="Arial" w:cs="Arial"/>
          <w:sz w:val="20"/>
          <w:szCs w:val="20"/>
        </w:rPr>
        <w:t xml:space="preserve"> </w:t>
      </w:r>
    </w:p>
    <w:p w14:paraId="7A3780AD" w14:textId="77777777" w:rsidR="00394C8C" w:rsidRDefault="00394C8C" w:rsidP="00394C8C">
      <w:pPr>
        <w:tabs>
          <w:tab w:val="left" w:pos="426"/>
          <w:tab w:val="left" w:pos="851"/>
        </w:tabs>
        <w:rPr>
          <w:rFonts w:ascii="Arial" w:hAnsi="Arial" w:cs="Arial"/>
          <w:sz w:val="20"/>
          <w:szCs w:val="20"/>
        </w:rPr>
      </w:pPr>
    </w:p>
    <w:p w14:paraId="143F0055" w14:textId="5B5AA928" w:rsidR="00647774" w:rsidRPr="00A71B54" w:rsidRDefault="004D4B59" w:rsidP="00647774">
      <w:pPr>
        <w:pStyle w:val="Paragraphedeliste"/>
        <w:numPr>
          <w:ilvl w:val="0"/>
          <w:numId w:val="42"/>
        </w:numPr>
        <w:spacing w:line="276" w:lineRule="auto"/>
        <w:rPr>
          <w:rFonts w:ascii="Arial" w:hAnsi="Arial" w:cs="Arial"/>
          <w:sz w:val="20"/>
          <w:szCs w:val="20"/>
        </w:rPr>
      </w:pPr>
      <w:r>
        <w:rPr>
          <w:rFonts w:ascii="Arial" w:hAnsi="Arial" w:cs="Arial"/>
          <w:sz w:val="20"/>
          <w:szCs w:val="20"/>
        </w:rPr>
        <w:t xml:space="preserve">Lot 2 : </w:t>
      </w:r>
      <w:r w:rsidRPr="004D4B59">
        <w:rPr>
          <w:rFonts w:ascii="Arial" w:hAnsi="Arial" w:cs="Arial"/>
          <w:sz w:val="20"/>
          <w:szCs w:val="20"/>
        </w:rPr>
        <w:t>Sorbonnes et hottes fournies par WALDNER</w:t>
      </w: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3129CB4" w:rsidR="00394C8C" w:rsidRPr="00394C8C" w:rsidRDefault="00570352"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07287416"/>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04B4395F"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016F4F">
            <w:rPr>
              <w:rFonts w:ascii="Arial" w:hAnsi="Arial" w:cs="Arial"/>
              <w:sz w:val="20"/>
              <w:szCs w:val="20"/>
            </w:rPr>
            <w:t>(Décomposition du Prix Global Forfaitaire ET Bordereau des Prix Unitaires)</w:t>
          </w:r>
        </w:sdtContent>
      </w:sdt>
    </w:p>
    <w:p w14:paraId="72C1AFEE" w14:textId="11099807"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w:t>
      </w:r>
    </w:p>
    <w:p w14:paraId="5CEB44CC" w14:textId="7878653C" w:rsidR="00394C8C" w:rsidRPr="00394C8C" w:rsidRDefault="00394C8C" w:rsidP="00394C8C">
      <w:pPr>
        <w:tabs>
          <w:tab w:val="left" w:pos="851"/>
        </w:tabs>
        <w:spacing w:before="120"/>
        <w:ind w:left="1135" w:hanging="284"/>
        <w:rPr>
          <w:rFonts w:ascii="Arial" w:hAnsi="Arial" w:cs="Arial"/>
          <w:sz w:val="20"/>
          <w:szCs w:val="20"/>
        </w:rPr>
      </w:pPr>
      <w:r w:rsidRPr="008A1BDC">
        <w:rPr>
          <w:rFonts w:ascii="Arial" w:hAnsi="Arial" w:cs="Arial"/>
          <w:sz w:val="20"/>
          <w:szCs w:val="20"/>
        </w:rPr>
        <w:fldChar w:fldCharType="begin">
          <w:ffData>
            <w:name w:val=""/>
            <w:enabled/>
            <w:calcOnExit w:val="0"/>
            <w:checkBox>
              <w:size w:val="20"/>
              <w:default w:val="0"/>
            </w:checkBox>
          </w:ffData>
        </w:fldChar>
      </w:r>
      <w:r w:rsidRPr="008A1BDC">
        <w:rPr>
          <w:rFonts w:ascii="Arial" w:hAnsi="Arial" w:cs="Arial"/>
          <w:sz w:val="20"/>
          <w:szCs w:val="20"/>
        </w:rPr>
        <w:instrText xml:space="preserve"> FORMCHECKBOX </w:instrText>
      </w:r>
      <w:r w:rsidRPr="008A1BDC">
        <w:rPr>
          <w:rFonts w:ascii="Arial" w:hAnsi="Arial" w:cs="Arial"/>
          <w:sz w:val="20"/>
          <w:szCs w:val="20"/>
        </w:rPr>
      </w:r>
      <w:r w:rsidRPr="008A1BDC">
        <w:rPr>
          <w:rFonts w:ascii="Arial" w:hAnsi="Arial" w:cs="Arial"/>
          <w:sz w:val="20"/>
          <w:szCs w:val="20"/>
        </w:rPr>
        <w:fldChar w:fldCharType="separate"/>
      </w:r>
      <w:r w:rsidRPr="008A1BDC">
        <w:rPr>
          <w:rFonts w:ascii="Arial" w:hAnsi="Arial" w:cs="Arial"/>
          <w:sz w:val="20"/>
          <w:szCs w:val="20"/>
        </w:rPr>
        <w:fldChar w:fldCharType="end"/>
      </w:r>
      <w:r w:rsidRPr="008A1BDC">
        <w:rPr>
          <w:rFonts w:ascii="Arial" w:hAnsi="Arial" w:cs="Arial"/>
          <w:sz w:val="20"/>
          <w:szCs w:val="20"/>
        </w:rPr>
        <w:t xml:space="preserve"> </w:t>
      </w:r>
      <w:proofErr w:type="gramStart"/>
      <w:r w:rsidRPr="008A1BDC">
        <w:rPr>
          <w:rFonts w:ascii="Arial" w:hAnsi="Arial" w:cs="Arial"/>
          <w:sz w:val="20"/>
          <w:szCs w:val="20"/>
        </w:rPr>
        <w:t>le</w:t>
      </w:r>
      <w:proofErr w:type="gramEnd"/>
      <w:r w:rsidRPr="008A1BDC">
        <w:rPr>
          <w:rFonts w:ascii="Arial" w:hAnsi="Arial" w:cs="Arial"/>
          <w:sz w:val="20"/>
          <w:szCs w:val="20"/>
        </w:rPr>
        <w:t xml:space="preserve"> Cahier des charges référencé </w:t>
      </w:r>
      <w:r w:rsidR="00A875AC" w:rsidRPr="008A1BDC">
        <w:rPr>
          <w:rFonts w:ascii="Arial" w:hAnsi="Arial" w:cs="Arial"/>
          <w:b/>
          <w:sz w:val="20"/>
          <w:szCs w:val="20"/>
        </w:rPr>
        <w:t>ASNR/</w:t>
      </w:r>
      <w:r w:rsidR="007C4D1B" w:rsidRPr="008A1BDC">
        <w:rPr>
          <w:rFonts w:ascii="Arial" w:hAnsi="Arial" w:cs="Arial"/>
          <w:b/>
          <w:sz w:val="20"/>
          <w:szCs w:val="20"/>
        </w:rPr>
        <w:t>PSE-ENV/</w:t>
      </w:r>
      <w:r w:rsidR="00A875AC" w:rsidRPr="008A1BDC">
        <w:rPr>
          <w:rFonts w:ascii="Arial" w:hAnsi="Arial" w:cs="Arial"/>
          <w:b/>
          <w:sz w:val="20"/>
          <w:szCs w:val="20"/>
        </w:rPr>
        <w:t>SAME/2025-</w:t>
      </w:r>
      <w:r w:rsidR="007C4D1B" w:rsidRPr="008A1BDC">
        <w:rPr>
          <w:rFonts w:ascii="Arial" w:hAnsi="Arial" w:cs="Arial"/>
          <w:b/>
          <w:sz w:val="20"/>
          <w:szCs w:val="20"/>
        </w:rPr>
        <w:t>000</w:t>
      </w:r>
      <w:r w:rsidR="006A13D1">
        <w:rPr>
          <w:rFonts w:ascii="Arial" w:hAnsi="Arial" w:cs="Arial"/>
          <w:b/>
          <w:sz w:val="20"/>
          <w:szCs w:val="20"/>
        </w:rPr>
        <w:t>60</w:t>
      </w:r>
      <w:r w:rsidR="00092078">
        <w:rPr>
          <w:rFonts w:ascii="Arial" w:hAnsi="Arial" w:cs="Arial"/>
          <w:b/>
          <w:sz w:val="20"/>
          <w:szCs w:val="20"/>
        </w:rPr>
        <w:t xml:space="preserve"> </w:t>
      </w:r>
      <w:r w:rsidR="00A875AC" w:rsidRPr="008A1BDC">
        <w:rPr>
          <w:rFonts w:ascii="Arial" w:hAnsi="Arial" w:cs="Arial"/>
          <w:bCs/>
          <w:sz w:val="20"/>
          <w:szCs w:val="20"/>
        </w:rPr>
        <w:t>et ses annexes</w:t>
      </w:r>
    </w:p>
    <w:p w14:paraId="51D33043" w14:textId="3DAD21B2"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994C5E" w:rsidRPr="00016F4F">
            <w:rPr>
              <w:rFonts w:ascii="Arial" w:hAnsi="Arial" w:cs="Arial"/>
              <w:sz w:val="20"/>
              <w:szCs w:val="20"/>
            </w:rPr>
            <w:t>de Fournitures courantes et services</w:t>
          </w:r>
        </w:sdtContent>
      </w:sdt>
      <w:r w:rsidRPr="00016F4F">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6EE8C0F6"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sidR="005A23C3">
        <w:rPr>
          <w:rFonts w:ascii="Arial" w:hAnsi="Arial" w:cs="Arial"/>
          <w:sz w:val="20"/>
          <w:szCs w:val="20"/>
        </w:rPr>
        <w:t>de la DPGF</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118C08E3"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maximum de l’accord</w:t>
      </w:r>
      <w:r w:rsidR="00A76FAF">
        <w:rPr>
          <w:rFonts w:ascii="Arial" w:hAnsi="Arial" w:cs="Arial"/>
          <w:b/>
          <w:bCs/>
          <w:sz w:val="20"/>
          <w:szCs w:val="20"/>
        </w:rPr>
        <w:t>-c</w:t>
      </w:r>
      <w:r w:rsidRPr="00394C8C">
        <w:rPr>
          <w:rFonts w:ascii="Arial" w:hAnsi="Arial" w:cs="Arial"/>
          <w:b/>
          <w:bCs/>
          <w:sz w:val="20"/>
          <w:szCs w:val="20"/>
        </w:rPr>
        <w:t xml:space="preserve">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2B9C3AAC" w:rsidR="00766305" w:rsidRDefault="005A23C3" w:rsidP="00766305">
      <w:pPr>
        <w:pStyle w:val="fcase1ertab"/>
        <w:tabs>
          <w:tab w:val="left" w:pos="851"/>
        </w:tabs>
        <w:ind w:left="0" w:firstLine="0"/>
        <w:rPr>
          <w:rFonts w:ascii="Arial" w:hAnsi="Arial" w:cs="Arial"/>
        </w:rPr>
      </w:pPr>
      <w:r>
        <w:rPr>
          <w:rFonts w:ascii="Arial" w:hAnsi="Arial" w:cs="Arial"/>
        </w:rPr>
        <w:t>Le montant</w:t>
      </w:r>
      <w:r w:rsidR="00766305" w:rsidRPr="00394C8C">
        <w:rPr>
          <w:rFonts w:ascii="Arial" w:hAnsi="Arial" w:cs="Arial"/>
        </w:rPr>
        <w:t xml:space="preserve"> maximum de l’accord-cadre est le suivant :</w:t>
      </w:r>
    </w:p>
    <w:p w14:paraId="6308079D" w14:textId="77777777" w:rsidR="00AD000B" w:rsidRPr="005A4454" w:rsidRDefault="00AD000B" w:rsidP="00AD000B">
      <w:pPr>
        <w:pStyle w:val="Paragraphedeliste"/>
        <w:numPr>
          <w:ilvl w:val="0"/>
          <w:numId w:val="7"/>
        </w:numPr>
        <w:rPr>
          <w:rFonts w:ascii="Arial" w:hAnsi="Arial" w:cs="Arial"/>
          <w:bCs/>
          <w:sz w:val="20"/>
          <w:szCs w:val="20"/>
        </w:rPr>
      </w:pPr>
      <w:r>
        <w:rPr>
          <w:rStyle w:val="Textedelespacerserv"/>
          <w:rFonts w:ascii="Arial" w:hAnsi="Arial" w:cs="Arial"/>
          <w:bCs/>
          <w:color w:val="auto"/>
          <w:sz w:val="20"/>
          <w:szCs w:val="20"/>
        </w:rPr>
        <w:t>Avec un montant minimum correspondant au montant total de la DPGF pour les 24 premiers mois (période ferme),</w:t>
      </w:r>
    </w:p>
    <w:p w14:paraId="46190487" w14:textId="63E009D5" w:rsidR="00AD000B" w:rsidRPr="00404CB6" w:rsidRDefault="00AD000B" w:rsidP="00AD000B">
      <w:pPr>
        <w:pStyle w:val="Paragraphedeliste"/>
        <w:numPr>
          <w:ilvl w:val="0"/>
          <w:numId w:val="7"/>
        </w:numPr>
        <w:rPr>
          <w:rStyle w:val="Textedelespacerserv"/>
          <w:bCs/>
          <w:color w:val="auto"/>
        </w:rPr>
      </w:pPr>
      <w:r>
        <w:rPr>
          <w:rStyle w:val="Textedelespacerserv"/>
          <w:bCs/>
          <w:color w:val="auto"/>
        </w:rPr>
        <w:t>Avec un montant maximum de 1</w:t>
      </w:r>
      <w:r>
        <w:rPr>
          <w:rStyle w:val="Textedelespacerserv"/>
          <w:bCs/>
          <w:color w:val="auto"/>
        </w:rPr>
        <w:t>60</w:t>
      </w:r>
      <w:r>
        <w:rPr>
          <w:rStyle w:val="Textedelespacerserv"/>
          <w:bCs/>
          <w:color w:val="auto"/>
        </w:rPr>
        <w:t> 000 € HT</w:t>
      </w:r>
    </w:p>
    <w:p w14:paraId="55FA51BB" w14:textId="77777777" w:rsidR="00BA1C30" w:rsidRPr="003527EF" w:rsidRDefault="00BA1C30" w:rsidP="00BA1C30">
      <w:pPr>
        <w:rPr>
          <w:rFonts w:ascii="Arial" w:hAnsi="Arial" w:cs="Arial"/>
          <w:sz w:val="20"/>
          <w:szCs w:val="20"/>
        </w:rPr>
      </w:pPr>
      <w:r w:rsidRPr="003527EF">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51BF9C5A" w14:textId="3463C8DC"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6"/>
    <w:p w14:paraId="1C887CA1" w14:textId="77777777" w:rsidR="0050184E" w:rsidRPr="0050184E" w:rsidRDefault="0050184E" w:rsidP="0050184E">
      <w:pPr>
        <w:spacing w:after="120"/>
        <w:rPr>
          <w:rFonts w:ascii="Arial" w:hAnsi="Arial" w:cs="Arial"/>
          <w:sz w:val="20"/>
          <w:szCs w:val="20"/>
        </w:rPr>
      </w:pPr>
      <w:r w:rsidRPr="0050184E">
        <w:rPr>
          <w:rFonts w:ascii="Arial" w:hAnsi="Arial" w:cs="Arial"/>
          <w:sz w:val="20"/>
          <w:szCs w:val="20"/>
        </w:rPr>
        <w:t>Le marché est conclu à compter de sa date de notification et prendra fin à l'achèvement des prestations objets du présent marché.</w:t>
      </w:r>
    </w:p>
    <w:p w14:paraId="3B21E5E2" w14:textId="77777777" w:rsidR="0050184E" w:rsidRPr="0050184E" w:rsidRDefault="0050184E" w:rsidP="0050184E">
      <w:pPr>
        <w:spacing w:after="120"/>
        <w:rPr>
          <w:rFonts w:ascii="Arial" w:hAnsi="Arial" w:cs="Arial"/>
          <w:sz w:val="20"/>
          <w:szCs w:val="20"/>
        </w:rPr>
      </w:pPr>
      <w:r w:rsidRPr="0050184E">
        <w:rPr>
          <w:rFonts w:ascii="Arial" w:hAnsi="Arial" w:cs="Arial"/>
          <w:sz w:val="20"/>
          <w:szCs w:val="20"/>
        </w:rPr>
        <w:t>Son début d’exécution est fixé à sa date de notification.</w:t>
      </w:r>
    </w:p>
    <w:p w14:paraId="1E7CEE30" w14:textId="77777777" w:rsidR="0050184E" w:rsidRPr="0050184E" w:rsidRDefault="0050184E" w:rsidP="0050184E">
      <w:pPr>
        <w:spacing w:after="120"/>
        <w:rPr>
          <w:rFonts w:ascii="Arial" w:hAnsi="Arial" w:cs="Arial"/>
          <w:sz w:val="20"/>
          <w:szCs w:val="20"/>
        </w:rPr>
      </w:pPr>
      <w:r w:rsidRPr="0050184E">
        <w:rPr>
          <w:rFonts w:ascii="Arial" w:hAnsi="Arial" w:cs="Arial"/>
          <w:sz w:val="20"/>
          <w:szCs w:val="20"/>
        </w:rPr>
        <w:t>L’accord-cadre a une durée initiale de vingt-quatre (24) mois à compter de la date de début d’exécution mentionnée ci-dessus.</w:t>
      </w:r>
    </w:p>
    <w:p w14:paraId="39CA6E2C" w14:textId="77777777" w:rsidR="0050184E" w:rsidRPr="0050184E" w:rsidRDefault="0050184E" w:rsidP="0050184E">
      <w:pPr>
        <w:spacing w:after="120"/>
        <w:rPr>
          <w:rFonts w:ascii="Arial" w:hAnsi="Arial" w:cs="Arial"/>
          <w:sz w:val="20"/>
          <w:szCs w:val="20"/>
        </w:rPr>
      </w:pPr>
      <w:r w:rsidRPr="0050184E">
        <w:rPr>
          <w:rFonts w:ascii="Arial" w:hAnsi="Arial" w:cs="Arial"/>
          <w:sz w:val="20"/>
          <w:szCs w:val="20"/>
        </w:rPr>
        <w:t>L’accord-cadre est reconductible de manière tacite, deux fois comme suit :</w:t>
      </w:r>
    </w:p>
    <w:p w14:paraId="25F15372" w14:textId="77777777" w:rsidR="0050184E" w:rsidRPr="009353A3" w:rsidRDefault="0050184E" w:rsidP="009353A3">
      <w:pPr>
        <w:pStyle w:val="Paragraphedeliste"/>
        <w:numPr>
          <w:ilvl w:val="0"/>
          <w:numId w:val="44"/>
        </w:numPr>
        <w:rPr>
          <w:rFonts w:ascii="Arial" w:hAnsi="Arial" w:cs="Arial"/>
          <w:sz w:val="20"/>
          <w:szCs w:val="20"/>
        </w:rPr>
      </w:pPr>
      <w:r w:rsidRPr="009353A3">
        <w:rPr>
          <w:rFonts w:ascii="Arial" w:hAnsi="Arial" w:cs="Arial"/>
          <w:sz w:val="20"/>
          <w:szCs w:val="20"/>
        </w:rPr>
        <w:t>Pour une période de 12 mois, démarrant à compter du lendemain de la date de fin de la période initiale de 24 mois.</w:t>
      </w:r>
    </w:p>
    <w:p w14:paraId="361AFE80" w14:textId="77777777" w:rsidR="0050184E" w:rsidRPr="009353A3" w:rsidRDefault="0050184E" w:rsidP="009353A3">
      <w:pPr>
        <w:pStyle w:val="Paragraphedeliste"/>
        <w:numPr>
          <w:ilvl w:val="0"/>
          <w:numId w:val="44"/>
        </w:numPr>
        <w:rPr>
          <w:rFonts w:ascii="Arial" w:hAnsi="Arial" w:cs="Arial"/>
          <w:sz w:val="20"/>
          <w:szCs w:val="20"/>
        </w:rPr>
      </w:pPr>
      <w:r w:rsidRPr="009353A3">
        <w:rPr>
          <w:rFonts w:ascii="Arial" w:hAnsi="Arial" w:cs="Arial"/>
          <w:sz w:val="20"/>
          <w:szCs w:val="20"/>
        </w:rPr>
        <w:t xml:space="preserve">Pour une période de 12 mois, démarrant à compter du lendemain de la date de fin de la première reconduction. </w:t>
      </w:r>
    </w:p>
    <w:p w14:paraId="44A25648" w14:textId="77777777" w:rsidR="0050184E" w:rsidRPr="0050184E" w:rsidRDefault="0050184E" w:rsidP="0050184E">
      <w:pPr>
        <w:spacing w:after="120"/>
        <w:rPr>
          <w:rFonts w:ascii="Arial" w:hAnsi="Arial" w:cs="Arial"/>
          <w:sz w:val="20"/>
          <w:szCs w:val="20"/>
        </w:rPr>
      </w:pPr>
      <w:r w:rsidRPr="0050184E">
        <w:rPr>
          <w:rFonts w:ascii="Arial" w:hAnsi="Arial" w:cs="Arial"/>
          <w:sz w:val="20"/>
          <w:szCs w:val="20"/>
        </w:rPr>
        <w:t>Les bons de commande peuvent être lancés pendant toute la durée de validité de l’accord-cadre.</w:t>
      </w:r>
    </w:p>
    <w:p w14:paraId="22D4E392" w14:textId="77777777" w:rsidR="0050184E" w:rsidRPr="0050184E" w:rsidRDefault="0050184E" w:rsidP="0050184E">
      <w:pPr>
        <w:spacing w:after="120"/>
        <w:rPr>
          <w:rFonts w:ascii="Arial" w:hAnsi="Arial" w:cs="Arial"/>
          <w:sz w:val="20"/>
          <w:szCs w:val="20"/>
        </w:rPr>
      </w:pPr>
      <w:r w:rsidRPr="0050184E">
        <w:rPr>
          <w:rFonts w:ascii="Arial" w:hAnsi="Arial" w:cs="Arial"/>
          <w:sz w:val="20"/>
          <w:szCs w:val="20"/>
        </w:rPr>
        <w:t>L’accord-cadre est reconductible tacitement sauf dénonciation expresse par le pouvoir adjudicateur, notifiée par écrit au moins un mois avant la date d’expiration de la période de reconduction.</w:t>
      </w:r>
    </w:p>
    <w:p w14:paraId="5C2B2297" w14:textId="77777777" w:rsidR="0050184E" w:rsidRPr="0050184E" w:rsidRDefault="0050184E" w:rsidP="0050184E">
      <w:pPr>
        <w:spacing w:after="120"/>
        <w:rPr>
          <w:rFonts w:ascii="Arial" w:hAnsi="Arial" w:cs="Arial"/>
          <w:sz w:val="20"/>
          <w:szCs w:val="20"/>
        </w:rPr>
      </w:pPr>
      <w:r w:rsidRPr="0050184E">
        <w:rPr>
          <w:rFonts w:ascii="Arial" w:hAnsi="Arial" w:cs="Arial"/>
          <w:sz w:val="20"/>
          <w:szCs w:val="20"/>
        </w:rPr>
        <w:t>La durée globale de la maintenance, période de reconduction comprise, ne peut dépasser soixante mois (60) mois.</w:t>
      </w:r>
    </w:p>
    <w:p w14:paraId="6281AC8F" w14:textId="7DDAF0CA" w:rsidR="00FA094A" w:rsidRPr="003566E0" w:rsidRDefault="0050184E" w:rsidP="0050184E">
      <w:pPr>
        <w:spacing w:after="120"/>
        <w:rPr>
          <w:rFonts w:ascii="Arial" w:hAnsi="Arial" w:cs="Arial"/>
          <w:sz w:val="20"/>
          <w:szCs w:val="20"/>
        </w:rPr>
      </w:pPr>
      <w:r w:rsidRPr="0050184E">
        <w:rPr>
          <w:rFonts w:ascii="Arial" w:hAnsi="Arial" w:cs="Arial"/>
          <w:sz w:val="20"/>
          <w:szCs w:val="20"/>
        </w:rPr>
        <w:t>La décision de non-reconduction n’ouvre droit à aucune indemnité</w:t>
      </w:r>
      <w:r w:rsidR="008932BB" w:rsidRPr="00254685">
        <w:rPr>
          <w:rFonts w:ascii="Arial" w:hAnsi="Arial" w:cs="Arial"/>
          <w:sz w:val="20"/>
          <w:szCs w:val="20"/>
        </w:rPr>
        <w:t>.</w:t>
      </w:r>
      <w:r w:rsidR="00FA094A" w:rsidRPr="003566E0">
        <w:rPr>
          <w:rFonts w:ascii="Arial" w:hAnsi="Arial" w:cs="Arial"/>
          <w:sz w:val="20"/>
          <w:szCs w:val="20"/>
        </w:rPr>
        <w:t> </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7B9F1916" w:rsidR="0042250E" w:rsidRPr="00DC4013" w:rsidRDefault="0028686A" w:rsidP="00E83147">
            <w:pPr>
              <w:pStyle w:val="texte"/>
              <w:ind w:left="0"/>
              <w:rPr>
                <w:rFonts w:cs="Arial"/>
              </w:rPr>
            </w:pPr>
            <w:r>
              <w:rPr>
                <w:rFonts w:cs="Arial"/>
              </w:rPr>
              <w:t>Evelyne BARKER</w:t>
            </w:r>
          </w:p>
        </w:tc>
        <w:tc>
          <w:tcPr>
            <w:tcW w:w="2440" w:type="dxa"/>
          </w:tcPr>
          <w:p w14:paraId="6ED430C7" w14:textId="00774A66" w:rsidR="0042250E" w:rsidRPr="00DC4013" w:rsidRDefault="0028686A" w:rsidP="00E83147">
            <w:pPr>
              <w:pStyle w:val="texte"/>
              <w:ind w:left="0"/>
              <w:rPr>
                <w:rFonts w:cs="Arial"/>
              </w:rPr>
            </w:pPr>
            <w:r>
              <w:rPr>
                <w:rFonts w:cs="Arial"/>
              </w:rPr>
              <w:t>01 30 15 52 20</w:t>
            </w:r>
          </w:p>
        </w:tc>
        <w:tc>
          <w:tcPr>
            <w:tcW w:w="2375" w:type="dxa"/>
          </w:tcPr>
          <w:p w14:paraId="5D6030BC" w14:textId="49EC11E5" w:rsidR="0042250E" w:rsidRPr="00DC4013" w:rsidRDefault="0028686A" w:rsidP="00E83147">
            <w:pPr>
              <w:pStyle w:val="texte"/>
              <w:ind w:left="0"/>
              <w:rPr>
                <w:rFonts w:cs="Arial"/>
              </w:rPr>
            </w:pPr>
            <w:r>
              <w:t>Evelyne.barker@asnr.fr</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3E030E02" w:rsidR="00E83147" w:rsidRPr="00DC4013" w:rsidRDefault="009974FC" w:rsidP="00E83147">
            <w:pPr>
              <w:pStyle w:val="texte"/>
              <w:ind w:left="0"/>
              <w:rPr>
                <w:rFonts w:cs="Arial"/>
              </w:rPr>
            </w:pPr>
            <w:r>
              <w:rPr>
                <w:rFonts w:cs="Arial"/>
              </w:rPr>
              <w:t>Pierre PINGOT</w:t>
            </w:r>
          </w:p>
        </w:tc>
        <w:tc>
          <w:tcPr>
            <w:tcW w:w="2440" w:type="dxa"/>
          </w:tcPr>
          <w:p w14:paraId="333C502D" w14:textId="5E9DBB65" w:rsidR="00E83147" w:rsidRPr="00DC4013" w:rsidRDefault="009974FC" w:rsidP="00E83147">
            <w:pPr>
              <w:pStyle w:val="texte"/>
              <w:ind w:left="0"/>
              <w:rPr>
                <w:rFonts w:cs="Arial"/>
              </w:rPr>
            </w:pPr>
            <w:r>
              <w:rPr>
                <w:rFonts w:cs="Arial"/>
              </w:rPr>
              <w:t xml:space="preserve">01 58 35 </w:t>
            </w:r>
            <w:r w:rsidR="002345CD">
              <w:rPr>
                <w:rFonts w:cs="Arial"/>
              </w:rPr>
              <w:t>93 62</w:t>
            </w:r>
          </w:p>
        </w:tc>
        <w:tc>
          <w:tcPr>
            <w:tcW w:w="2375" w:type="dxa"/>
          </w:tcPr>
          <w:p w14:paraId="2BDC8BDE" w14:textId="7BE39EA1" w:rsidR="00E83147" w:rsidRPr="00DC4013" w:rsidRDefault="009974FC" w:rsidP="00E83147">
            <w:pPr>
              <w:pStyle w:val="texte"/>
              <w:ind w:left="0"/>
              <w:rPr>
                <w:rFonts w:cs="Arial"/>
              </w:rPr>
            </w:pPr>
            <w:hyperlink r:id="rId11" w:history="1">
              <w:r w:rsidRPr="00E06AB2">
                <w:rPr>
                  <w:rStyle w:val="Lienhypertexte"/>
                  <w:rFonts w:cs="Arial"/>
                </w:rPr>
                <w:t>Pierre.pingot@asnr.fr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Default="00DC4013" w:rsidP="0028686A">
      <w:pPr>
        <w:shd w:val="clear" w:color="auto" w:fill="FFFFFF"/>
        <w:spacing w:line="360" w:lineRule="auto"/>
        <w:rPr>
          <w:rFonts w:ascii="Arial" w:hAnsi="Arial" w:cs="Arial"/>
          <w:sz w:val="20"/>
          <w:szCs w:val="20"/>
        </w:rPr>
      </w:pPr>
    </w:p>
    <w:p w14:paraId="3F6F4B0E" w14:textId="77777777" w:rsidR="0028686A" w:rsidRDefault="0028686A" w:rsidP="0028686A">
      <w:pPr>
        <w:shd w:val="clear" w:color="auto" w:fill="FFFFFF"/>
        <w:spacing w:line="360" w:lineRule="auto"/>
        <w:rPr>
          <w:rFonts w:ascii="Arial" w:hAnsi="Arial" w:cs="Arial"/>
          <w:sz w:val="20"/>
          <w:szCs w:val="20"/>
        </w:rPr>
      </w:pPr>
    </w:p>
    <w:p w14:paraId="1692D407" w14:textId="77777777" w:rsidR="0028686A" w:rsidRDefault="0028686A" w:rsidP="0028686A">
      <w:pPr>
        <w:shd w:val="clear" w:color="auto" w:fill="FFFFFF"/>
        <w:spacing w:line="360" w:lineRule="auto"/>
        <w:rPr>
          <w:rFonts w:ascii="Arial" w:hAnsi="Arial" w:cs="Arial"/>
          <w:sz w:val="20"/>
          <w:szCs w:val="20"/>
        </w:rPr>
      </w:pPr>
    </w:p>
    <w:p w14:paraId="499D1458" w14:textId="77777777" w:rsidR="0028686A" w:rsidRPr="00DC4013" w:rsidRDefault="0028686A" w:rsidP="0028686A">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640DAECA" w14:textId="6CF1D8DC" w:rsidR="00172723" w:rsidRDefault="00E76D7D" w:rsidP="00E83147">
            <w:pPr>
              <w:pStyle w:val="texte"/>
              <w:ind w:left="0"/>
              <w:rPr>
                <w:rFonts w:cs="Arial"/>
              </w:rPr>
            </w:pPr>
            <w:r>
              <w:rPr>
                <w:rFonts w:cs="Arial"/>
              </w:rPr>
              <w:t>Service d’analyses et de métrologie de l’environnement</w:t>
            </w:r>
          </w:p>
          <w:p w14:paraId="7EFCDC04" w14:textId="170C8E6F" w:rsidR="00172723" w:rsidRDefault="0028686A" w:rsidP="00E83147">
            <w:pPr>
              <w:pStyle w:val="texte"/>
              <w:ind w:left="0"/>
              <w:rPr>
                <w:rFonts w:cs="Arial"/>
              </w:rPr>
            </w:pPr>
            <w:r>
              <w:rPr>
                <w:rFonts w:cs="Arial"/>
              </w:rPr>
              <w:t>SAME</w:t>
            </w:r>
          </w:p>
          <w:p w14:paraId="5E07A5F2" w14:textId="0F7165A8" w:rsidR="00E83147" w:rsidRPr="00DC4013" w:rsidRDefault="003475D6" w:rsidP="00E83147">
            <w:pPr>
              <w:pStyle w:val="texte"/>
              <w:ind w:left="0"/>
              <w:rPr>
                <w:rFonts w:cs="Arial"/>
              </w:rPr>
            </w:pPr>
            <w:r w:rsidRPr="007F4551">
              <w:rPr>
                <w:rFonts w:cs="Arial"/>
              </w:rPr>
              <w:t xml:space="preserve">31, </w:t>
            </w:r>
            <w:r w:rsidR="00E76D7D">
              <w:rPr>
                <w:rFonts w:cs="Arial"/>
              </w:rPr>
              <w:t xml:space="preserve">rue de </w:t>
            </w:r>
            <w:r w:rsidR="00E61BDB">
              <w:rPr>
                <w:rFonts w:cs="Arial"/>
              </w:rPr>
              <w:t xml:space="preserve">l’écluse </w:t>
            </w:r>
            <w:r w:rsidR="00E76D7D">
              <w:rPr>
                <w:rFonts w:cs="Arial"/>
              </w:rPr>
              <w:t>– BP 40035 – 78116 Le Vésinet Cedex</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11597725" w14:textId="77777777" w:rsidR="008C20BF" w:rsidRDefault="008C20BF" w:rsidP="008C20BF">
      <w:pPr>
        <w:pStyle w:val="Titre4"/>
        <w:rPr>
          <w:rFonts w:ascii="Arial" w:hAnsi="Arial" w:cs="Arial"/>
          <w:caps/>
          <w:sz w:val="24"/>
          <w:szCs w:val="24"/>
          <w:u w:val="none"/>
        </w:rPr>
      </w:pPr>
      <w:bookmarkStart w:id="8" w:name="_Hlk177043568"/>
    </w:p>
    <w:p w14:paraId="6171432A" w14:textId="6721A8E6" w:rsidR="00000763" w:rsidRPr="00A456AC" w:rsidRDefault="00D25329" w:rsidP="00D25329">
      <w:pPr>
        <w:pStyle w:val="Titre4"/>
        <w:numPr>
          <w:ilvl w:val="0"/>
          <w:numId w:val="19"/>
        </w:numPr>
        <w:rPr>
          <w:rFonts w:ascii="Arial" w:hAnsi="Arial" w:cs="Arial"/>
          <w:caps/>
          <w:sz w:val="24"/>
          <w:szCs w:val="24"/>
          <w:u w:val="none"/>
        </w:rPr>
      </w:pPr>
      <w:r>
        <w:rPr>
          <w:rFonts w:ascii="Arial" w:hAnsi="Arial" w:cs="Arial"/>
          <w:caps/>
          <w:sz w:val="24"/>
          <w:szCs w:val="24"/>
          <w:u w:val="none"/>
        </w:rPr>
        <w:t>Avances</w:t>
      </w:r>
    </w:p>
    <w:p w14:paraId="20C63E5A" w14:textId="1AD3DE0B" w:rsidR="00A91706" w:rsidRPr="009F0766" w:rsidRDefault="00A91706" w:rsidP="00A91706">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 dans les conditions et selon les modalités prévues au CCAP, au versement d’une avance en faveur du Titulaire. </w:t>
      </w:r>
    </w:p>
    <w:p w14:paraId="415E8D20" w14:textId="11662DAE" w:rsidR="009F0766" w:rsidRPr="009F0766" w:rsidRDefault="009F0766" w:rsidP="009F0766">
      <w:pPr>
        <w:tabs>
          <w:tab w:val="left" w:pos="851"/>
        </w:tabs>
        <w:rPr>
          <w:rFonts w:ascii="Arial" w:hAnsi="Arial" w:cs="Arial"/>
          <w:sz w:val="20"/>
          <w:szCs w:val="20"/>
        </w:rPr>
      </w:pPr>
      <w:r>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207287417"/>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2"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3"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07287418"/>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4"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3108A1" w:rsidRDefault="00B2420E" w:rsidP="00B2420E">
      <w:pPr>
        <w:tabs>
          <w:tab w:val="left" w:pos="851"/>
        </w:tabs>
        <w:ind w:left="567"/>
        <w:rPr>
          <w:rFonts w:ascii="Arial" w:hAnsi="Arial" w:cs="Arial"/>
          <w:sz w:val="20"/>
          <w:szCs w:val="20"/>
        </w:rPr>
      </w:pPr>
      <w:r w:rsidRPr="003108A1">
        <w:rPr>
          <w:rFonts w:ascii="Arial" w:hAnsi="Arial" w:cs="Arial"/>
          <w:sz w:val="20"/>
          <w:szCs w:val="20"/>
        </w:rPr>
        <w:tab/>
      </w:r>
      <w:r w:rsidRPr="003108A1">
        <w:rPr>
          <w:rFonts w:ascii="Arial" w:hAnsi="Arial" w:cs="Arial"/>
          <w:sz w:val="20"/>
          <w:szCs w:val="20"/>
        </w:rPr>
        <w:fldChar w:fldCharType="begin">
          <w:ffData>
            <w:name w:val=""/>
            <w:enabled/>
            <w:calcOnExit w:val="0"/>
            <w:checkBox>
              <w:size w:val="20"/>
              <w:default w:val="0"/>
            </w:checkBox>
          </w:ffData>
        </w:fldChar>
      </w:r>
      <w:r w:rsidRPr="003108A1">
        <w:rPr>
          <w:rFonts w:ascii="Arial" w:hAnsi="Arial" w:cs="Arial"/>
          <w:sz w:val="20"/>
          <w:szCs w:val="20"/>
        </w:rPr>
        <w:instrText xml:space="preserve"> FORMCHECKBOX </w:instrText>
      </w:r>
      <w:r w:rsidRPr="003108A1">
        <w:rPr>
          <w:rFonts w:ascii="Arial" w:hAnsi="Arial" w:cs="Arial"/>
          <w:sz w:val="20"/>
          <w:szCs w:val="20"/>
        </w:rPr>
      </w:r>
      <w:r w:rsidRPr="003108A1">
        <w:rPr>
          <w:rFonts w:ascii="Arial" w:hAnsi="Arial" w:cs="Arial"/>
          <w:sz w:val="20"/>
          <w:szCs w:val="20"/>
        </w:rPr>
        <w:fldChar w:fldCharType="separate"/>
      </w:r>
      <w:r w:rsidRPr="003108A1">
        <w:rPr>
          <w:rFonts w:ascii="Arial" w:hAnsi="Arial" w:cs="Arial"/>
          <w:sz w:val="20"/>
          <w:szCs w:val="20"/>
        </w:rPr>
        <w:fldChar w:fldCharType="end"/>
      </w:r>
      <w:r w:rsidRPr="003108A1">
        <w:rPr>
          <w:rFonts w:ascii="Arial" w:hAnsi="Arial" w:cs="Arial"/>
          <w:sz w:val="20"/>
          <w:szCs w:val="20"/>
        </w:rPr>
        <w:tab/>
        <w:t>Offre de base</w:t>
      </w:r>
    </w:p>
    <w:p w14:paraId="0B04DDC5" w14:textId="77777777" w:rsidR="00B2420E" w:rsidRDefault="00B2420E" w:rsidP="00B2420E">
      <w:pPr>
        <w:tabs>
          <w:tab w:val="left" w:pos="851"/>
        </w:tabs>
        <w:ind w:left="567"/>
        <w:rPr>
          <w:rFonts w:ascii="Arial" w:hAnsi="Arial" w:cs="Arial"/>
          <w:color w:val="FF0000"/>
          <w:sz w:val="20"/>
          <w:szCs w:val="20"/>
        </w:rPr>
      </w:pPr>
    </w:p>
    <w:p w14:paraId="59CE6776" w14:textId="77777777" w:rsidR="007B5638" w:rsidRDefault="007B5638" w:rsidP="00B2420E">
      <w:pPr>
        <w:tabs>
          <w:tab w:val="left" w:pos="851"/>
        </w:tabs>
        <w:ind w:left="567"/>
        <w:rPr>
          <w:rFonts w:ascii="Arial" w:hAnsi="Arial" w:cs="Arial"/>
          <w:color w:val="FF0000"/>
          <w:sz w:val="20"/>
          <w:szCs w:val="20"/>
        </w:rPr>
      </w:pPr>
    </w:p>
    <w:p w14:paraId="3E40D921" w14:textId="77777777" w:rsidR="007B5638" w:rsidRPr="00F22B61" w:rsidRDefault="007B5638"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5"/>
      <w:footerReference w:type="default" r:id="rId16"/>
      <w:headerReference w:type="first" r:id="rId17"/>
      <w:footerReference w:type="first" r:id="rId18"/>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EA4CA" w14:textId="77777777" w:rsidR="00276CFF" w:rsidRDefault="00276CFF" w:rsidP="00CD6E3B">
      <w:pPr>
        <w:spacing w:after="0" w:line="240" w:lineRule="auto"/>
      </w:pPr>
      <w:r>
        <w:separator/>
      </w:r>
    </w:p>
  </w:endnote>
  <w:endnote w:type="continuationSeparator" w:id="0">
    <w:p w14:paraId="026FA4AD" w14:textId="77777777" w:rsidR="00276CFF" w:rsidRDefault="00276CFF"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58241"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58242"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563A7" w14:textId="77777777" w:rsidR="00276CFF" w:rsidRDefault="00276CFF" w:rsidP="00CD6E3B">
      <w:pPr>
        <w:spacing w:after="0" w:line="240" w:lineRule="auto"/>
      </w:pPr>
      <w:r>
        <w:separator/>
      </w:r>
    </w:p>
  </w:footnote>
  <w:footnote w:type="continuationSeparator" w:id="0">
    <w:p w14:paraId="61482592" w14:textId="77777777" w:rsidR="00276CFF" w:rsidRDefault="00276CFF"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58240"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573BB7"/>
    <w:multiLevelType w:val="hybridMultilevel"/>
    <w:tmpl w:val="3D4CF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2125CA"/>
    <w:multiLevelType w:val="hybridMultilevel"/>
    <w:tmpl w:val="EE003910"/>
    <w:lvl w:ilvl="0" w:tplc="1D36FA0A">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9"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371EA8"/>
    <w:multiLevelType w:val="hybridMultilevel"/>
    <w:tmpl w:val="DBBC4FF0"/>
    <w:lvl w:ilvl="0" w:tplc="190A171C">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575228"/>
    <w:multiLevelType w:val="hybridMultilevel"/>
    <w:tmpl w:val="1E167C0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9"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0584EF1"/>
    <w:multiLevelType w:val="multilevel"/>
    <w:tmpl w:val="4F4EDE4A"/>
    <w:numStyleLink w:val="Style11import"/>
  </w:abstractNum>
  <w:abstractNum w:abstractNumId="33"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5"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2"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30"/>
  </w:num>
  <w:num w:numId="2" w16cid:durableId="721370307">
    <w:abstractNumId w:val="31"/>
  </w:num>
  <w:num w:numId="3" w16cid:durableId="14156311">
    <w:abstractNumId w:val="2"/>
  </w:num>
  <w:num w:numId="4" w16cid:durableId="143856853">
    <w:abstractNumId w:val="32"/>
  </w:num>
  <w:num w:numId="5" w16cid:durableId="805123490">
    <w:abstractNumId w:val="33"/>
  </w:num>
  <w:num w:numId="6" w16cid:durableId="2016571958">
    <w:abstractNumId w:val="37"/>
  </w:num>
  <w:num w:numId="7" w16cid:durableId="1951233431">
    <w:abstractNumId w:val="7"/>
  </w:num>
  <w:num w:numId="8" w16cid:durableId="1783961598">
    <w:abstractNumId w:val="43"/>
  </w:num>
  <w:num w:numId="9" w16cid:durableId="1622952127">
    <w:abstractNumId w:val="14"/>
  </w:num>
  <w:num w:numId="10" w16cid:durableId="736169400">
    <w:abstractNumId w:val="42"/>
  </w:num>
  <w:num w:numId="11" w16cid:durableId="1370181474">
    <w:abstractNumId w:val="28"/>
  </w:num>
  <w:num w:numId="12" w16cid:durableId="974599000">
    <w:abstractNumId w:val="17"/>
  </w:num>
  <w:num w:numId="13" w16cid:durableId="272053749">
    <w:abstractNumId w:val="0"/>
  </w:num>
  <w:num w:numId="14" w16cid:durableId="1073623405">
    <w:abstractNumId w:val="5"/>
  </w:num>
  <w:num w:numId="15" w16cid:durableId="618533774">
    <w:abstractNumId w:val="21"/>
  </w:num>
  <w:num w:numId="16" w16cid:durableId="475991855">
    <w:abstractNumId w:val="9"/>
  </w:num>
  <w:num w:numId="17" w16cid:durableId="647514358">
    <w:abstractNumId w:val="12"/>
  </w:num>
  <w:num w:numId="18" w16cid:durableId="2119834146">
    <w:abstractNumId w:val="27"/>
  </w:num>
  <w:num w:numId="19" w16cid:durableId="1792942614">
    <w:abstractNumId w:val="1"/>
  </w:num>
  <w:num w:numId="20" w16cid:durableId="953171258">
    <w:abstractNumId w:val="35"/>
  </w:num>
  <w:num w:numId="21" w16cid:durableId="913006212">
    <w:abstractNumId w:val="10"/>
  </w:num>
  <w:num w:numId="22" w16cid:durableId="658731754">
    <w:abstractNumId w:val="36"/>
  </w:num>
  <w:num w:numId="23" w16cid:durableId="587156765">
    <w:abstractNumId w:val="38"/>
  </w:num>
  <w:num w:numId="24" w16cid:durableId="1011109421">
    <w:abstractNumId w:val="16"/>
  </w:num>
  <w:num w:numId="25" w16cid:durableId="1077895790">
    <w:abstractNumId w:val="13"/>
  </w:num>
  <w:num w:numId="26" w16cid:durableId="1212620077">
    <w:abstractNumId w:val="24"/>
  </w:num>
  <w:num w:numId="27" w16cid:durableId="839083881">
    <w:abstractNumId w:val="25"/>
  </w:num>
  <w:num w:numId="28" w16cid:durableId="767774703">
    <w:abstractNumId w:val="19"/>
  </w:num>
  <w:num w:numId="29" w16cid:durableId="1275553393">
    <w:abstractNumId w:val="8"/>
  </w:num>
  <w:num w:numId="30" w16cid:durableId="1030030730">
    <w:abstractNumId w:val="29"/>
  </w:num>
  <w:num w:numId="31" w16cid:durableId="841822667">
    <w:abstractNumId w:val="41"/>
  </w:num>
  <w:num w:numId="32" w16cid:durableId="46103866">
    <w:abstractNumId w:val="20"/>
  </w:num>
  <w:num w:numId="33" w16cid:durableId="1591040116">
    <w:abstractNumId w:val="4"/>
  </w:num>
  <w:num w:numId="34" w16cid:durableId="567889138">
    <w:abstractNumId w:val="34"/>
  </w:num>
  <w:num w:numId="35" w16cid:durableId="637883294">
    <w:abstractNumId w:val="18"/>
  </w:num>
  <w:num w:numId="36" w16cid:durableId="7174552">
    <w:abstractNumId w:val="6"/>
  </w:num>
  <w:num w:numId="37" w16cid:durableId="1160075879">
    <w:abstractNumId w:val="40"/>
  </w:num>
  <w:num w:numId="38" w16cid:durableId="1867210106">
    <w:abstractNumId w:val="39"/>
  </w:num>
  <w:num w:numId="39" w16cid:durableId="371393703">
    <w:abstractNumId w:val="3"/>
  </w:num>
  <w:num w:numId="40" w16cid:durableId="2103646790">
    <w:abstractNumId w:val="26"/>
  </w:num>
  <w:num w:numId="41" w16cid:durableId="1184899577">
    <w:abstractNumId w:val="22"/>
  </w:num>
  <w:num w:numId="42" w16cid:durableId="877350820">
    <w:abstractNumId w:val="15"/>
  </w:num>
  <w:num w:numId="43" w16cid:durableId="261575777">
    <w:abstractNumId w:val="23"/>
  </w:num>
  <w:num w:numId="44" w16cid:durableId="472790156">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6F4F"/>
    <w:rsid w:val="000178D8"/>
    <w:rsid w:val="00020877"/>
    <w:rsid w:val="00025303"/>
    <w:rsid w:val="00035E02"/>
    <w:rsid w:val="00052B45"/>
    <w:rsid w:val="00052EA7"/>
    <w:rsid w:val="00092078"/>
    <w:rsid w:val="0009352C"/>
    <w:rsid w:val="000A3066"/>
    <w:rsid w:val="000A6D4B"/>
    <w:rsid w:val="000D18DE"/>
    <w:rsid w:val="000D7847"/>
    <w:rsid w:val="000E4E7D"/>
    <w:rsid w:val="000F37C0"/>
    <w:rsid w:val="000F49DE"/>
    <w:rsid w:val="001105A2"/>
    <w:rsid w:val="00113A4F"/>
    <w:rsid w:val="001435DB"/>
    <w:rsid w:val="00143E8D"/>
    <w:rsid w:val="00145EE0"/>
    <w:rsid w:val="001535F1"/>
    <w:rsid w:val="00157C8E"/>
    <w:rsid w:val="001630E3"/>
    <w:rsid w:val="00167252"/>
    <w:rsid w:val="00172723"/>
    <w:rsid w:val="0018049E"/>
    <w:rsid w:val="00184C3B"/>
    <w:rsid w:val="001D0546"/>
    <w:rsid w:val="001E30B8"/>
    <w:rsid w:val="001F179C"/>
    <w:rsid w:val="002060A3"/>
    <w:rsid w:val="00212B33"/>
    <w:rsid w:val="00224647"/>
    <w:rsid w:val="002261AD"/>
    <w:rsid w:val="00227E8B"/>
    <w:rsid w:val="00233159"/>
    <w:rsid w:val="002345CD"/>
    <w:rsid w:val="00240241"/>
    <w:rsid w:val="00245A75"/>
    <w:rsid w:val="002462EA"/>
    <w:rsid w:val="0025101F"/>
    <w:rsid w:val="00254F0A"/>
    <w:rsid w:val="00276CFF"/>
    <w:rsid w:val="002776F7"/>
    <w:rsid w:val="00284D33"/>
    <w:rsid w:val="0028686A"/>
    <w:rsid w:val="002A03AA"/>
    <w:rsid w:val="002A0F88"/>
    <w:rsid w:val="002A3F2B"/>
    <w:rsid w:val="002A4082"/>
    <w:rsid w:val="002C464E"/>
    <w:rsid w:val="002C53DD"/>
    <w:rsid w:val="002C7AC8"/>
    <w:rsid w:val="002E0258"/>
    <w:rsid w:val="002E331C"/>
    <w:rsid w:val="002E589E"/>
    <w:rsid w:val="002F4C6F"/>
    <w:rsid w:val="003108A1"/>
    <w:rsid w:val="003111AB"/>
    <w:rsid w:val="0031203B"/>
    <w:rsid w:val="00314892"/>
    <w:rsid w:val="00321C73"/>
    <w:rsid w:val="00324A8A"/>
    <w:rsid w:val="00332147"/>
    <w:rsid w:val="00341126"/>
    <w:rsid w:val="00341FF1"/>
    <w:rsid w:val="00345B5C"/>
    <w:rsid w:val="003475D6"/>
    <w:rsid w:val="003566E0"/>
    <w:rsid w:val="00361889"/>
    <w:rsid w:val="00362015"/>
    <w:rsid w:val="00367AA1"/>
    <w:rsid w:val="0037734F"/>
    <w:rsid w:val="00386B8D"/>
    <w:rsid w:val="00392078"/>
    <w:rsid w:val="00394C8C"/>
    <w:rsid w:val="003A1ED6"/>
    <w:rsid w:val="003A4B0B"/>
    <w:rsid w:val="003A4E0A"/>
    <w:rsid w:val="003A5D66"/>
    <w:rsid w:val="003A7FA3"/>
    <w:rsid w:val="003D136B"/>
    <w:rsid w:val="003D310A"/>
    <w:rsid w:val="00403461"/>
    <w:rsid w:val="00406753"/>
    <w:rsid w:val="0040721A"/>
    <w:rsid w:val="004120DA"/>
    <w:rsid w:val="00413BDA"/>
    <w:rsid w:val="0042213F"/>
    <w:rsid w:val="0042250E"/>
    <w:rsid w:val="0045009D"/>
    <w:rsid w:val="004628BA"/>
    <w:rsid w:val="00464D77"/>
    <w:rsid w:val="004709AF"/>
    <w:rsid w:val="004869B5"/>
    <w:rsid w:val="004C7A21"/>
    <w:rsid w:val="004D1144"/>
    <w:rsid w:val="004D4B59"/>
    <w:rsid w:val="004F52AE"/>
    <w:rsid w:val="0050184E"/>
    <w:rsid w:val="0051358C"/>
    <w:rsid w:val="00527C67"/>
    <w:rsid w:val="0053080E"/>
    <w:rsid w:val="00536D33"/>
    <w:rsid w:val="00537087"/>
    <w:rsid w:val="00537852"/>
    <w:rsid w:val="00547C08"/>
    <w:rsid w:val="00551990"/>
    <w:rsid w:val="00570352"/>
    <w:rsid w:val="00575DAC"/>
    <w:rsid w:val="0057791A"/>
    <w:rsid w:val="00583538"/>
    <w:rsid w:val="0058368E"/>
    <w:rsid w:val="005839B4"/>
    <w:rsid w:val="0059707A"/>
    <w:rsid w:val="005A23C3"/>
    <w:rsid w:val="005A27E3"/>
    <w:rsid w:val="005A6D75"/>
    <w:rsid w:val="005B478A"/>
    <w:rsid w:val="005D112A"/>
    <w:rsid w:val="005D273B"/>
    <w:rsid w:val="005D7AD9"/>
    <w:rsid w:val="005E02DA"/>
    <w:rsid w:val="005E5EAE"/>
    <w:rsid w:val="00601139"/>
    <w:rsid w:val="006102E6"/>
    <w:rsid w:val="006125CF"/>
    <w:rsid w:val="006218F4"/>
    <w:rsid w:val="00630307"/>
    <w:rsid w:val="00630B17"/>
    <w:rsid w:val="006371E4"/>
    <w:rsid w:val="00642F95"/>
    <w:rsid w:val="006453EF"/>
    <w:rsid w:val="00647774"/>
    <w:rsid w:val="00650D1B"/>
    <w:rsid w:val="00653E45"/>
    <w:rsid w:val="00654497"/>
    <w:rsid w:val="00656A6C"/>
    <w:rsid w:val="00660669"/>
    <w:rsid w:val="00670406"/>
    <w:rsid w:val="00675A2E"/>
    <w:rsid w:val="00692904"/>
    <w:rsid w:val="006A13D1"/>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2F4C"/>
    <w:rsid w:val="00785219"/>
    <w:rsid w:val="00786AD0"/>
    <w:rsid w:val="007929B7"/>
    <w:rsid w:val="00796188"/>
    <w:rsid w:val="007A50EF"/>
    <w:rsid w:val="007B5638"/>
    <w:rsid w:val="007C4D1B"/>
    <w:rsid w:val="007D28F1"/>
    <w:rsid w:val="007D6867"/>
    <w:rsid w:val="007E4485"/>
    <w:rsid w:val="007F4551"/>
    <w:rsid w:val="0080067D"/>
    <w:rsid w:val="008046BB"/>
    <w:rsid w:val="008064F2"/>
    <w:rsid w:val="00814963"/>
    <w:rsid w:val="00817CC5"/>
    <w:rsid w:val="00840614"/>
    <w:rsid w:val="00842DB3"/>
    <w:rsid w:val="00843794"/>
    <w:rsid w:val="00845BF5"/>
    <w:rsid w:val="0084637D"/>
    <w:rsid w:val="008545FB"/>
    <w:rsid w:val="008575E6"/>
    <w:rsid w:val="00866726"/>
    <w:rsid w:val="00885AB7"/>
    <w:rsid w:val="008932BB"/>
    <w:rsid w:val="008A1BDC"/>
    <w:rsid w:val="008B0DC5"/>
    <w:rsid w:val="008C0EA4"/>
    <w:rsid w:val="008C20BF"/>
    <w:rsid w:val="008C46BE"/>
    <w:rsid w:val="008D5124"/>
    <w:rsid w:val="008D7302"/>
    <w:rsid w:val="008E0E83"/>
    <w:rsid w:val="008E3024"/>
    <w:rsid w:val="008F472A"/>
    <w:rsid w:val="009016AF"/>
    <w:rsid w:val="009116B3"/>
    <w:rsid w:val="00932F94"/>
    <w:rsid w:val="0093352A"/>
    <w:rsid w:val="009353A3"/>
    <w:rsid w:val="009362C5"/>
    <w:rsid w:val="00937391"/>
    <w:rsid w:val="00946006"/>
    <w:rsid w:val="00963585"/>
    <w:rsid w:val="00967C8A"/>
    <w:rsid w:val="00973330"/>
    <w:rsid w:val="0097483F"/>
    <w:rsid w:val="0097655D"/>
    <w:rsid w:val="00981CFE"/>
    <w:rsid w:val="00983141"/>
    <w:rsid w:val="00994C5E"/>
    <w:rsid w:val="009974FC"/>
    <w:rsid w:val="009B0645"/>
    <w:rsid w:val="009B1CF8"/>
    <w:rsid w:val="009D0DE8"/>
    <w:rsid w:val="009D17B4"/>
    <w:rsid w:val="009D2220"/>
    <w:rsid w:val="009D7B16"/>
    <w:rsid w:val="009E4B20"/>
    <w:rsid w:val="009E7C72"/>
    <w:rsid w:val="009F0133"/>
    <w:rsid w:val="009F0766"/>
    <w:rsid w:val="00A06B42"/>
    <w:rsid w:val="00A06CDB"/>
    <w:rsid w:val="00A1285C"/>
    <w:rsid w:val="00A12E6B"/>
    <w:rsid w:val="00A258B8"/>
    <w:rsid w:val="00A25DF0"/>
    <w:rsid w:val="00A27DD5"/>
    <w:rsid w:val="00A33042"/>
    <w:rsid w:val="00A35FFE"/>
    <w:rsid w:val="00A402EC"/>
    <w:rsid w:val="00A41C15"/>
    <w:rsid w:val="00A451C9"/>
    <w:rsid w:val="00A456AC"/>
    <w:rsid w:val="00A45DB8"/>
    <w:rsid w:val="00A57647"/>
    <w:rsid w:val="00A6483F"/>
    <w:rsid w:val="00A66E0C"/>
    <w:rsid w:val="00A7255C"/>
    <w:rsid w:val="00A76F69"/>
    <w:rsid w:val="00A76FAF"/>
    <w:rsid w:val="00A81D47"/>
    <w:rsid w:val="00A845BF"/>
    <w:rsid w:val="00A875AC"/>
    <w:rsid w:val="00A91706"/>
    <w:rsid w:val="00A91FF1"/>
    <w:rsid w:val="00A949C0"/>
    <w:rsid w:val="00AB3BDD"/>
    <w:rsid w:val="00AB43A8"/>
    <w:rsid w:val="00AB582E"/>
    <w:rsid w:val="00AC458A"/>
    <w:rsid w:val="00AC6B6C"/>
    <w:rsid w:val="00AC77AB"/>
    <w:rsid w:val="00AD000B"/>
    <w:rsid w:val="00AD097F"/>
    <w:rsid w:val="00AF21FB"/>
    <w:rsid w:val="00AF4FE4"/>
    <w:rsid w:val="00B01D84"/>
    <w:rsid w:val="00B2420E"/>
    <w:rsid w:val="00B37527"/>
    <w:rsid w:val="00B45D2B"/>
    <w:rsid w:val="00B47716"/>
    <w:rsid w:val="00B54E43"/>
    <w:rsid w:val="00B60A63"/>
    <w:rsid w:val="00B7157C"/>
    <w:rsid w:val="00B86208"/>
    <w:rsid w:val="00B9044A"/>
    <w:rsid w:val="00B971B3"/>
    <w:rsid w:val="00BA06D4"/>
    <w:rsid w:val="00BA06F3"/>
    <w:rsid w:val="00BA19DB"/>
    <w:rsid w:val="00BA1C30"/>
    <w:rsid w:val="00BB556C"/>
    <w:rsid w:val="00BD0708"/>
    <w:rsid w:val="00BD0CC0"/>
    <w:rsid w:val="00BD4BB9"/>
    <w:rsid w:val="00BD7253"/>
    <w:rsid w:val="00BE29E5"/>
    <w:rsid w:val="00BF4413"/>
    <w:rsid w:val="00BF71E1"/>
    <w:rsid w:val="00C05A41"/>
    <w:rsid w:val="00C06BBA"/>
    <w:rsid w:val="00C07E9B"/>
    <w:rsid w:val="00C25817"/>
    <w:rsid w:val="00C25D1A"/>
    <w:rsid w:val="00C31BB5"/>
    <w:rsid w:val="00C31CB6"/>
    <w:rsid w:val="00C33A8B"/>
    <w:rsid w:val="00C3720C"/>
    <w:rsid w:val="00C5493B"/>
    <w:rsid w:val="00C82EF2"/>
    <w:rsid w:val="00C905F7"/>
    <w:rsid w:val="00CB3C14"/>
    <w:rsid w:val="00CB7E4B"/>
    <w:rsid w:val="00CC0A62"/>
    <w:rsid w:val="00CC0B43"/>
    <w:rsid w:val="00CC1A06"/>
    <w:rsid w:val="00CC1B59"/>
    <w:rsid w:val="00CC6C22"/>
    <w:rsid w:val="00CD3F8D"/>
    <w:rsid w:val="00CD6E3B"/>
    <w:rsid w:val="00CD6EE5"/>
    <w:rsid w:val="00CF5103"/>
    <w:rsid w:val="00D23DD3"/>
    <w:rsid w:val="00D25329"/>
    <w:rsid w:val="00D35106"/>
    <w:rsid w:val="00D44B84"/>
    <w:rsid w:val="00D45990"/>
    <w:rsid w:val="00D517F3"/>
    <w:rsid w:val="00D52451"/>
    <w:rsid w:val="00D750DB"/>
    <w:rsid w:val="00D75323"/>
    <w:rsid w:val="00D77927"/>
    <w:rsid w:val="00D93043"/>
    <w:rsid w:val="00DA2868"/>
    <w:rsid w:val="00DB0F77"/>
    <w:rsid w:val="00DB2F66"/>
    <w:rsid w:val="00DC0F70"/>
    <w:rsid w:val="00DC3717"/>
    <w:rsid w:val="00DC4013"/>
    <w:rsid w:val="00DC60FF"/>
    <w:rsid w:val="00DD1EB0"/>
    <w:rsid w:val="00DD2003"/>
    <w:rsid w:val="00DD5069"/>
    <w:rsid w:val="00DE5187"/>
    <w:rsid w:val="00E02F0E"/>
    <w:rsid w:val="00E17AA5"/>
    <w:rsid w:val="00E2211F"/>
    <w:rsid w:val="00E41032"/>
    <w:rsid w:val="00E500FE"/>
    <w:rsid w:val="00E60895"/>
    <w:rsid w:val="00E61BDB"/>
    <w:rsid w:val="00E623E6"/>
    <w:rsid w:val="00E645D6"/>
    <w:rsid w:val="00E76D36"/>
    <w:rsid w:val="00E76D7D"/>
    <w:rsid w:val="00E83147"/>
    <w:rsid w:val="00E864ED"/>
    <w:rsid w:val="00E92775"/>
    <w:rsid w:val="00EA66AA"/>
    <w:rsid w:val="00EB3D78"/>
    <w:rsid w:val="00EB65D7"/>
    <w:rsid w:val="00EB7292"/>
    <w:rsid w:val="00EC5733"/>
    <w:rsid w:val="00ED54B7"/>
    <w:rsid w:val="00ED605E"/>
    <w:rsid w:val="00EE6ABB"/>
    <w:rsid w:val="00EE7F86"/>
    <w:rsid w:val="00F04E3D"/>
    <w:rsid w:val="00F0629D"/>
    <w:rsid w:val="00F2558F"/>
    <w:rsid w:val="00F4468D"/>
    <w:rsid w:val="00F46FBD"/>
    <w:rsid w:val="00F51304"/>
    <w:rsid w:val="00F62237"/>
    <w:rsid w:val="00F64F01"/>
    <w:rsid w:val="00F659CF"/>
    <w:rsid w:val="00F6790D"/>
    <w:rsid w:val="00F73DE0"/>
    <w:rsid w:val="00F75F5A"/>
    <w:rsid w:val="00F84421"/>
    <w:rsid w:val="00F90D50"/>
    <w:rsid w:val="00F91F10"/>
    <w:rsid w:val="00F96D42"/>
    <w:rsid w:val="00FA094A"/>
    <w:rsid w:val="00FA4B7B"/>
    <w:rsid w:val="00FA607D"/>
    <w:rsid w:val="00FB186A"/>
    <w:rsid w:val="00FB18A5"/>
    <w:rsid w:val="00FB6705"/>
    <w:rsid w:val="00FE10E4"/>
    <w:rsid w:val="00FE59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A76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ierre.pingot@asnr.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panose1 w:val="020B0503030403020204"/>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0877"/>
    <w:rsid w:val="00027942"/>
    <w:rsid w:val="00084800"/>
    <w:rsid w:val="000A54E3"/>
    <w:rsid w:val="000C27EA"/>
    <w:rsid w:val="000C2FD9"/>
    <w:rsid w:val="000D7847"/>
    <w:rsid w:val="000F37C0"/>
    <w:rsid w:val="0018049E"/>
    <w:rsid w:val="001B51A7"/>
    <w:rsid w:val="001D0546"/>
    <w:rsid w:val="001F179C"/>
    <w:rsid w:val="002060A3"/>
    <w:rsid w:val="00233159"/>
    <w:rsid w:val="002776F7"/>
    <w:rsid w:val="002A4082"/>
    <w:rsid w:val="002E589E"/>
    <w:rsid w:val="003051E1"/>
    <w:rsid w:val="003346D8"/>
    <w:rsid w:val="00336845"/>
    <w:rsid w:val="00345336"/>
    <w:rsid w:val="00345B5C"/>
    <w:rsid w:val="0036004F"/>
    <w:rsid w:val="003A1ED6"/>
    <w:rsid w:val="003B62C2"/>
    <w:rsid w:val="003E354C"/>
    <w:rsid w:val="003F3831"/>
    <w:rsid w:val="003F5980"/>
    <w:rsid w:val="00403461"/>
    <w:rsid w:val="0040555B"/>
    <w:rsid w:val="0042213F"/>
    <w:rsid w:val="00450D6B"/>
    <w:rsid w:val="00467C78"/>
    <w:rsid w:val="004D7F59"/>
    <w:rsid w:val="00501ACE"/>
    <w:rsid w:val="00515680"/>
    <w:rsid w:val="00587C69"/>
    <w:rsid w:val="005A5774"/>
    <w:rsid w:val="005C629F"/>
    <w:rsid w:val="005E02DA"/>
    <w:rsid w:val="006371E4"/>
    <w:rsid w:val="00650D1B"/>
    <w:rsid w:val="00680686"/>
    <w:rsid w:val="00681E4E"/>
    <w:rsid w:val="006F2408"/>
    <w:rsid w:val="007235F2"/>
    <w:rsid w:val="00752D52"/>
    <w:rsid w:val="00775D1D"/>
    <w:rsid w:val="007929B7"/>
    <w:rsid w:val="007A258B"/>
    <w:rsid w:val="007D6867"/>
    <w:rsid w:val="007E5050"/>
    <w:rsid w:val="008575E6"/>
    <w:rsid w:val="00885AB7"/>
    <w:rsid w:val="008A4768"/>
    <w:rsid w:val="008B00B5"/>
    <w:rsid w:val="008B3B29"/>
    <w:rsid w:val="008C49C9"/>
    <w:rsid w:val="008C5347"/>
    <w:rsid w:val="008D5E11"/>
    <w:rsid w:val="008D7302"/>
    <w:rsid w:val="009016AF"/>
    <w:rsid w:val="00963585"/>
    <w:rsid w:val="009671AD"/>
    <w:rsid w:val="00993C26"/>
    <w:rsid w:val="009D2220"/>
    <w:rsid w:val="009D7B16"/>
    <w:rsid w:val="009E4B20"/>
    <w:rsid w:val="00A02D36"/>
    <w:rsid w:val="00A1337E"/>
    <w:rsid w:val="00A33042"/>
    <w:rsid w:val="00A66E0C"/>
    <w:rsid w:val="00A743A2"/>
    <w:rsid w:val="00AC7D00"/>
    <w:rsid w:val="00AE5034"/>
    <w:rsid w:val="00B26C6A"/>
    <w:rsid w:val="00B37527"/>
    <w:rsid w:val="00B64393"/>
    <w:rsid w:val="00B800E9"/>
    <w:rsid w:val="00BD7302"/>
    <w:rsid w:val="00C06BBA"/>
    <w:rsid w:val="00C078AC"/>
    <w:rsid w:val="00C524EA"/>
    <w:rsid w:val="00D02F1D"/>
    <w:rsid w:val="00D23DD3"/>
    <w:rsid w:val="00D37F21"/>
    <w:rsid w:val="00D517F3"/>
    <w:rsid w:val="00D604AF"/>
    <w:rsid w:val="00DB3177"/>
    <w:rsid w:val="00DC0F70"/>
    <w:rsid w:val="00DD62CC"/>
    <w:rsid w:val="00E44E60"/>
    <w:rsid w:val="00E6582E"/>
    <w:rsid w:val="00E76D36"/>
    <w:rsid w:val="00E97898"/>
    <w:rsid w:val="00EA2603"/>
    <w:rsid w:val="00EB3D78"/>
    <w:rsid w:val="00EB65D7"/>
    <w:rsid w:val="00ED3DC5"/>
    <w:rsid w:val="00EE334E"/>
    <w:rsid w:val="00EE6ABB"/>
    <w:rsid w:val="00F0629D"/>
    <w:rsid w:val="00F2558F"/>
    <w:rsid w:val="00F62237"/>
    <w:rsid w:val="00F659CF"/>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E6582E"/>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AD0EB812C5B54710B21C5F5996E0D0B4">
    <w:name w:val="AD0EB812C5B54710B21C5F5996E0D0B4"/>
    <w:rsid w:val="00E6582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c98d71cf6bc0990da8144fe46f700da9">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8fa2e85f2f205d611e032671f80e4afa"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EC54EB2B-CEC7-4950-8D01-D6EA3D2AD026}"/>
</file>

<file path=docProps/app.xml><?xml version="1.0" encoding="utf-8"?>
<Properties xmlns="http://schemas.openxmlformats.org/officeDocument/2006/extended-properties" xmlns:vt="http://schemas.openxmlformats.org/officeDocument/2006/docPropsVTypes">
  <Template>Normal</Template>
  <TotalTime>16</TotalTime>
  <Pages>13</Pages>
  <Words>1917</Words>
  <Characters>10545</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Laurent Jacquottin</cp:lastModifiedBy>
  <cp:revision>18</cp:revision>
  <cp:lastPrinted>2023-04-04T08:25:00Z</cp:lastPrinted>
  <dcterms:created xsi:type="dcterms:W3CDTF">2025-10-24T14:13:00Z</dcterms:created>
  <dcterms:modified xsi:type="dcterms:W3CDTF">2025-11-04T09:11:00Z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